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仿宋" w:hAnsi="仿宋" w:eastAsia="仿宋" w:cs="仿宋"/>
          <w:sz w:val="28"/>
          <w:szCs w:val="28"/>
        </w:rPr>
        <w:id w:val="20950985"/>
        <w:docPartObj>
          <w:docPartGallery w:val="autotext"/>
        </w:docPartObj>
      </w:sdtPr>
      <w:sdtEndPr>
        <w:rPr>
          <w:rFonts w:hint="eastAsia" w:ascii="宋体" w:hAnsi="宋体" w:eastAsia="宋体" w:cstheme="minorBidi"/>
          <w:caps w:val="0"/>
          <w:kern w:val="2"/>
          <w:sz w:val="21"/>
          <w:szCs w:val="28"/>
        </w:rPr>
      </w:sdtEndPr>
      <w:sdtContent>
        <w:tbl>
          <w:tblPr>
            <w:tblStyle w:val="8"/>
            <w:tblW w:w="5000" w:type="pct"/>
            <w:jc w:val="cente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8522"/>
          </w:tblGrid>
          <w:tr w14:paraId="507134D5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880" w:hRule="atLeast"/>
              <w:jc w:val="center"/>
            </w:trPr>
            <w:tc>
              <w:tcPr>
                <w:tcW w:w="5000" w:type="pct"/>
              </w:tcPr>
              <w:p w14:paraId="4B302E3D">
                <w:pPr>
                  <w:pStyle w:val="13"/>
                  <w:jc w:val="left"/>
                  <w:rPr>
                    <w:rFonts w:hint="default" w:asciiTheme="majorHAnsi" w:hAnsiTheme="majorHAnsi" w:eastAsiaTheme="minorEastAsia" w:cstheme="majorBidi"/>
                    <w:caps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  <w:lang w:val="en-US" w:eastAsia="zh-CN"/>
                  </w:rPr>
                  <w:t>附件2：</w:t>
                </w:r>
              </w:p>
            </w:tc>
          </w:tr>
          <w:tr w14:paraId="4E930331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116" w:hRule="atLeast"/>
              <w:jc w:val="center"/>
            </w:trPr>
            <w:tc>
              <w:tcPr>
                <w:tcW w:w="5000" w:type="pct"/>
                <w:tcBorders>
                  <w:bottom w:val="single" w:color="4472C4" w:themeColor="accent1" w:sz="4" w:space="0"/>
                </w:tcBorders>
                <w:vAlign w:val="center"/>
              </w:tcPr>
              <w:sdt>
                <w:sdtPr>
                  <w:rPr>
                    <w:rFonts w:ascii="宋体" w:hAnsi="宋体" w:eastAsia="宋体" w:cs="宋体"/>
                    <w:b/>
                    <w:bCs/>
                    <w:kern w:val="44"/>
                    <w:sz w:val="72"/>
                    <w:szCs w:val="72"/>
                  </w:rPr>
                  <w:alias w:val="标题"/>
                  <w:id w:val="15524250"/>
                  <w:placeholder>
                    <w:docPart w:val="{6b6c051f-0868-46e6-930d-cb05ac48f959}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Fonts w:ascii="宋体" w:hAnsi="宋体" w:eastAsia="宋体" w:cs="宋体"/>
                    <w:b/>
                    <w:bCs/>
                    <w:kern w:val="44"/>
                    <w:sz w:val="72"/>
                    <w:szCs w:val="72"/>
                  </w:rPr>
                </w:sdtEndPr>
                <w:sdtContent>
                  <w:p w14:paraId="03016A5D">
                    <w:pPr>
                      <w:pStyle w:val="13"/>
                      <w:jc w:val="center"/>
                      <w:rPr>
                        <w:rFonts w:ascii="宋体" w:hAnsi="宋体" w:eastAsia="宋体" w:cs="宋体"/>
                        <w:b/>
                        <w:bCs/>
                        <w:kern w:val="44"/>
                        <w:sz w:val="72"/>
                        <w:szCs w:val="72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kern w:val="44"/>
                        <w:sz w:val="72"/>
                        <w:szCs w:val="72"/>
                        <w:lang w:eastAsia="zh-CN"/>
                      </w:rPr>
                      <w:t>转专业申报操作指南</w:t>
                    </w:r>
                  </w:p>
                </w:sdtContent>
              </w:sdt>
            </w:tc>
          </w:tr>
          <w:tr w14:paraId="4F2CD9D2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773" w:hRule="atLeast"/>
              <w:jc w:val="center"/>
            </w:trPr>
            <w:tc>
              <w:tcPr>
                <w:tcW w:w="5000" w:type="pct"/>
                <w:tcBorders>
                  <w:top w:val="single" w:color="4472C4" w:themeColor="accent1" w:sz="4" w:space="0"/>
                </w:tcBorders>
                <w:vAlign w:val="center"/>
              </w:tcPr>
              <w:sdt>
                <w:sdtPr>
                  <w:rPr>
                    <w:rFonts w:ascii="宋体" w:hAnsi="宋体" w:eastAsia="宋体" w:cs="宋体"/>
                    <w:b/>
                    <w:bCs/>
                    <w:kern w:val="44"/>
                    <w:sz w:val="44"/>
                    <w:szCs w:val="44"/>
                  </w:rPr>
                  <w:alias w:val="副标题"/>
                  <w:id w:val="15524255"/>
                  <w:placeholder>
                    <w:docPart w:val="{9595f6b9-b000-4557-b872-e1c064ded2f5}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>
                  <w:rPr>
                    <w:rFonts w:ascii="宋体" w:hAnsi="宋体" w:eastAsia="宋体" w:cs="宋体"/>
                    <w:b/>
                    <w:bCs/>
                    <w:kern w:val="44"/>
                    <w:sz w:val="44"/>
                    <w:szCs w:val="44"/>
                  </w:rPr>
                </w:sdtEndPr>
                <w:sdtContent>
                  <w:p w14:paraId="7B7ABE4E">
                    <w:pPr>
                      <w:pStyle w:val="13"/>
                      <w:jc w:val="center"/>
                      <w:rPr>
                        <w:rFonts w:asciiTheme="majorHAnsi" w:hAnsiTheme="majorHAnsi" w:eastAsiaTheme="majorEastAsia" w:cstheme="majorBidi"/>
                        <w:sz w:val="80"/>
                        <w:szCs w:val="80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kern w:val="44"/>
                        <w:sz w:val="44"/>
                        <w:szCs w:val="44"/>
                        <w:lang w:eastAsia="zh-CN"/>
                      </w:rPr>
                      <w:t>学生端（PC 端）</w:t>
                    </w:r>
                  </w:p>
                </w:sdtContent>
              </w:sdt>
            </w:tc>
          </w:tr>
          <w:tr w14:paraId="49633D6B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2945" w:hRule="atLeast"/>
              <w:jc w:val="center"/>
            </w:trPr>
            <w:tc>
              <w:tcPr>
                <w:tcW w:w="5000" w:type="pct"/>
                <w:vAlign w:val="center"/>
              </w:tcPr>
              <w:p w14:paraId="28FF7289">
                <w:pPr>
                  <w:pStyle w:val="13"/>
                  <w:ind w:firstLine="546" w:firstLineChars="0"/>
                  <w:jc w:val="both"/>
                  <w:rPr>
                    <w:rFonts w:asciiTheme="majorHAnsi" w:hAnsiTheme="majorHAnsi" w:eastAsiaTheme="majorEastAsia" w:cstheme="majorBidi"/>
                    <w:sz w:val="44"/>
                    <w:szCs w:val="44"/>
                  </w:rPr>
                </w:pPr>
              </w:p>
              <w:p w14:paraId="1B41676A">
                <w:pPr>
                  <w:pStyle w:val="13"/>
                  <w:jc w:val="both"/>
                  <w:rPr>
                    <w:rFonts w:asciiTheme="majorHAnsi" w:hAnsiTheme="majorHAnsi" w:eastAsiaTheme="majorEastAsia" w:cstheme="majorBidi"/>
                    <w:sz w:val="44"/>
                    <w:szCs w:val="44"/>
                  </w:rPr>
                </w:pPr>
              </w:p>
              <w:p w14:paraId="2C79984A">
                <w:pPr>
                  <w:pStyle w:val="13"/>
                  <w:ind w:firstLine="546" w:firstLineChars="0"/>
                  <w:jc w:val="both"/>
                  <w:rPr>
                    <w:rFonts w:asciiTheme="majorHAnsi" w:hAnsiTheme="majorHAnsi" w:eastAsiaTheme="majorEastAsia" w:cstheme="majorBidi"/>
                    <w:sz w:val="44"/>
                    <w:szCs w:val="44"/>
                  </w:rPr>
                </w:pPr>
              </w:p>
              <w:p w14:paraId="2576F151">
                <w:pPr>
                  <w:pStyle w:val="13"/>
                  <w:ind w:firstLine="546" w:firstLineChars="0"/>
                  <w:jc w:val="both"/>
                  <w:rPr>
                    <w:rFonts w:asciiTheme="majorHAnsi" w:hAnsiTheme="majorHAnsi" w:eastAsiaTheme="majorEastAsia" w:cstheme="majorBidi"/>
                    <w:sz w:val="44"/>
                    <w:szCs w:val="44"/>
                  </w:rPr>
                </w:pPr>
              </w:p>
            </w:tc>
          </w:tr>
          <w:tr w14:paraId="51DC0B0C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60" w:hRule="atLeast"/>
              <w:jc w:val="center"/>
            </w:trPr>
            <w:tc>
              <w:tcPr>
                <w:tcW w:w="5000" w:type="pct"/>
                <w:vAlign w:val="center"/>
              </w:tcPr>
              <w:p w14:paraId="5573AB5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560" w:lineRule="exact"/>
                  <w:ind w:firstLine="0"/>
                  <w:jc w:val="center"/>
                  <w:textAlignment w:val="auto"/>
                  <w:rPr>
                    <w:rFonts w:hint="eastAsia" w:ascii="宋体" w:hAnsi="宋体" w:eastAsia="宋体"/>
                    <w:b/>
                    <w:sz w:val="36"/>
                    <w:szCs w:val="36"/>
                    <w:lang w:val="en-US" w:eastAsia="zh-CN"/>
                  </w:rPr>
                </w:pPr>
                <w:r>
                  <w:rPr>
                    <w:rFonts w:hint="eastAsia" w:ascii="宋体" w:hAnsi="宋体" w:eastAsia="宋体"/>
                    <w:b/>
                    <w:sz w:val="36"/>
                    <w:szCs w:val="36"/>
                    <w:lang w:val="en-US" w:eastAsia="zh-CN"/>
                  </w:rPr>
                  <w:t>长春建筑学院教务处</w:t>
                </w:r>
              </w:p>
              <w:p w14:paraId="177DF4DC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560" w:lineRule="exact"/>
                  <w:ind w:firstLine="0"/>
                  <w:jc w:val="center"/>
                  <w:textAlignment w:val="auto"/>
                  <w:rPr>
                    <w:b/>
                    <w:bCs/>
                  </w:rPr>
                </w:pPr>
                <w:r>
                  <w:rPr>
                    <w:rFonts w:ascii="宋体" w:hAnsi="宋体" w:eastAsia="宋体"/>
                    <w:b/>
                    <w:sz w:val="36"/>
                    <w:szCs w:val="36"/>
                  </w:rPr>
                  <w:t>202</w:t>
                </w:r>
                <w:r>
                  <w:rPr>
                    <w:rFonts w:hint="eastAsia" w:ascii="宋体" w:hAnsi="宋体" w:eastAsia="宋体"/>
                    <w:b/>
                    <w:sz w:val="36"/>
                    <w:szCs w:val="36"/>
                    <w:lang w:val="en-US" w:eastAsia="zh-CN"/>
                  </w:rPr>
                  <w:t>5</w:t>
                </w:r>
                <w:r>
                  <w:rPr>
                    <w:rFonts w:ascii="宋体" w:hAnsi="宋体" w:eastAsia="宋体"/>
                    <w:b/>
                    <w:sz w:val="36"/>
                    <w:szCs w:val="36"/>
                  </w:rPr>
                  <w:t>年</w:t>
                </w:r>
                <w:r>
                  <w:rPr>
                    <w:rFonts w:hint="eastAsia" w:ascii="宋体" w:hAnsi="宋体" w:eastAsia="宋体"/>
                    <w:b/>
                    <w:sz w:val="36"/>
                    <w:szCs w:val="36"/>
                    <w:lang w:val="en-US" w:eastAsia="zh-CN"/>
                  </w:rPr>
                  <w:t>8</w:t>
                </w:r>
                <w:r>
                  <w:rPr>
                    <w:rFonts w:ascii="宋体" w:hAnsi="宋体" w:eastAsia="宋体"/>
                    <w:b/>
                    <w:sz w:val="36"/>
                    <w:szCs w:val="36"/>
                  </w:rPr>
                  <w:t>月</w:t>
                </w:r>
                <w:r>
                  <w:rPr>
                    <w:rFonts w:hint="eastAsia" w:ascii="宋体" w:hAnsi="宋体" w:eastAsia="宋体"/>
                    <w:b/>
                    <w:sz w:val="36"/>
                    <w:szCs w:val="36"/>
                    <w:lang w:val="en-US" w:eastAsia="zh-CN"/>
                  </w:rPr>
                  <w:t>17</w:t>
                </w:r>
                <w:bookmarkStart w:id="3" w:name="_GoBack"/>
                <w:bookmarkEnd w:id="3"/>
                <w:r>
                  <w:rPr>
                    <w:rFonts w:ascii="宋体" w:hAnsi="宋体" w:eastAsia="宋体"/>
                    <w:b/>
                    <w:sz w:val="36"/>
                    <w:szCs w:val="36"/>
                  </w:rPr>
                  <w:t>日</w:t>
                </w:r>
              </w:p>
            </w:tc>
          </w:tr>
        </w:tbl>
        <w:sdt>
          <w:sdtPr>
            <w:rPr>
              <w:lang w:val="zh-CN"/>
            </w:rPr>
            <w:id w:val="20951403"/>
            <w:docPartObj>
              <w:docPartGallery w:val="Table of Contents"/>
              <w:docPartUnique/>
            </w:docPartObj>
          </w:sdtPr>
          <w:sdtEndPr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  <w:lang w:val="en-US"/>
            </w:rPr>
          </w:sdtEndPr>
          <w:sdtContent>
            <w:p w14:paraId="0920D3B7">
              <w:pPr>
                <w:pStyle w:val="15"/>
                <w:jc w:val="center"/>
                <w:rPr>
                  <w:lang w:val="zh-CN"/>
                </w:rPr>
              </w:pPr>
            </w:p>
            <w:p w14:paraId="7E2F5BB7">
              <w:pPr>
                <w:rPr>
                  <w:lang w:val="zh-CN"/>
                </w:rPr>
              </w:pPr>
            </w:p>
            <w:p w14:paraId="53563EFA">
              <w:pPr>
                <w:pStyle w:val="15"/>
                <w:jc w:val="center"/>
              </w:pPr>
              <w:r>
                <w:rPr>
                  <w:rFonts w:ascii="宋体" w:hAnsi="宋体" w:eastAsia="宋体"/>
                  <w:color w:val="auto"/>
                  <w:sz w:val="52"/>
                  <w:szCs w:val="52"/>
                  <w:lang w:val="zh-CN"/>
                </w:rPr>
                <w:t>目录</w:t>
              </w:r>
            </w:p>
            <w:p w14:paraId="39128235">
              <w:pPr>
                <w:pStyle w:val="7"/>
                <w:tabs>
                  <w:tab w:val="right" w:leader="dot" w:pos="8306"/>
                </w:tabs>
                <w:rPr>
                  <w:rFonts w:hint="eastAsia" w:ascii="宋体" w:hAnsi="宋体" w:eastAsia="宋体" w:cs="宋体"/>
                  <w:sz w:val="32"/>
                  <w:szCs w:val="3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HYPERLINK \l _Toc16516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一、 进入方式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ab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PAGEREF _Toc16516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1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</w:p>
            <w:p w14:paraId="117867BA">
              <w:pPr>
                <w:pStyle w:val="7"/>
                <w:tabs>
                  <w:tab w:val="right" w:leader="dot" w:pos="8306"/>
                </w:tabs>
                <w:rPr>
                  <w:rFonts w:hint="eastAsia" w:ascii="宋体" w:hAnsi="宋体" w:eastAsia="宋体" w:cs="宋体"/>
                  <w:sz w:val="32"/>
                  <w:szCs w:val="32"/>
                </w:rPr>
              </w:pP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HYPERLINK \l _Toc1056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二、 转专业申请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ab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PAGEREF _Toc1056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1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</w:p>
            <w:p w14:paraId="15792412">
              <w:pPr>
                <w:pStyle w:val="7"/>
                <w:tabs>
                  <w:tab w:val="right" w:leader="dot" w:pos="8306"/>
                </w:tabs>
              </w:pP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HYPERLINK \l _Toc12260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三、 查询结果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ab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begin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instrText xml:space="preserve"> PAGEREF _Toc12260 </w:instrTex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separate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t>3</w:t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  <w:r>
                <w:rPr>
                  <w:rFonts w:hint="eastAsia" w:ascii="宋体" w:hAnsi="宋体" w:eastAsia="宋体" w:cs="宋体"/>
                  <w:sz w:val="32"/>
                  <w:szCs w:val="32"/>
                </w:rPr>
                <w:fldChar w:fldCharType="end"/>
              </w:r>
            </w:p>
            <w:p w14:paraId="0A6C52C1">
              <w:r>
                <w:fldChar w:fldCharType="end"/>
              </w:r>
            </w:p>
          </w:sdtContent>
        </w:sdt>
        <w:p w14:paraId="64B3F8B8">
          <w:pPr>
            <w:widowControl/>
            <w:ind w:firstLine="0"/>
            <w:jc w:val="left"/>
            <w:rPr>
              <w:rFonts w:hint="eastAsia" w:ascii="宋体" w:hAnsi="宋体" w:eastAsia="宋体"/>
              <w:b/>
              <w:bCs/>
              <w:kern w:val="44"/>
              <w:sz w:val="44"/>
              <w:szCs w:val="44"/>
            </w:rPr>
          </w:pPr>
        </w:p>
      </w:sdtContent>
    </w:sdt>
    <w:p w14:paraId="5F60B16C"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/>
          <w:sz w:val="32"/>
          <w:szCs w:val="32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0" w:name="_Toc16516"/>
    </w:p>
    <w:p w14:paraId="07B8DD78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进入方式</w:t>
      </w:r>
      <w:bookmarkEnd w:id="0"/>
    </w:p>
    <w:p w14:paraId="3CFE5D72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⒈访问长春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建筑学院教务处</w:t>
      </w:r>
      <w:r>
        <w:rPr>
          <w:rFonts w:hint="eastAsia" w:ascii="仿宋" w:hAnsi="仿宋" w:eastAsia="仿宋" w:cs="仿宋"/>
          <w:sz w:val="32"/>
          <w:szCs w:val="32"/>
        </w:rPr>
        <w:t>网站（访问地址：http://10.1.12.202:8080/Login）；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建议使用谷歌浏览器、火狐浏览器或者360浏览器极速模式。</w:t>
      </w:r>
    </w:p>
    <w:p w14:paraId="01D22BD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⒉校园网直接访问，校外网需通过奇安信VPN访问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8F34C0E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⒊登录后，点击“教学信息一体化服务平台”；</w:t>
      </w:r>
    </w:p>
    <w:p w14:paraId="4D7ECF1E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bookmarkStart w:id="1" w:name="_Toc1056"/>
      <w:r>
        <w:rPr>
          <w:rFonts w:hint="eastAsia" w:ascii="宋体" w:hAnsi="宋体" w:eastAsia="宋体"/>
          <w:sz w:val="32"/>
          <w:szCs w:val="32"/>
        </w:rPr>
        <w:t>转专业申请</w:t>
      </w:r>
      <w:bookmarkEnd w:id="1"/>
    </w:p>
    <w:p w14:paraId="765D46A4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⒈点击左侧菜单“转专业申请”或者时间轴上“转专业申请”，如图 1 所示。</w:t>
      </w:r>
    </w:p>
    <w:p w14:paraId="48D2D71A">
      <w:pPr>
        <w:ind w:firstLine="0"/>
        <w:jc w:val="left"/>
        <w:rPr>
          <w:rFonts w:hint="eastAsia" w:ascii="宋体" w:hAnsi="宋体" w:eastAsia="宋体"/>
        </w:rPr>
      </w:pPr>
      <w:r>
        <w:drawing>
          <wp:inline distT="0" distB="0" distL="114300" distR="114300">
            <wp:extent cx="5271135" cy="20148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BC03">
      <w:pPr>
        <w:ind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图1：学生时间轴</w:t>
      </w:r>
    </w:p>
    <w:p w14:paraId="269B57A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⒉仔细阅读转专业申请说明；</w:t>
      </w:r>
    </w:p>
    <w:p w14:paraId="11A11A0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⒊完成阅读后，勾选“我已详细阅读以上内容”，点击确定按钮；</w:t>
      </w:r>
    </w:p>
    <w:p w14:paraId="09C63036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⒋输入转专业申请理由（最大 500 字符）；</w:t>
      </w:r>
    </w:p>
    <w:p w14:paraId="167D9B1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⒌系统中按学院、专业的形式列出了所有可以申报的专业，如图2所示，选中即为完成报名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每生最多选择一个志愿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；点击“取消选择”可以取消报名；</w:t>
      </w:r>
    </w:p>
    <w:p w14:paraId="68967F46">
      <w:pPr>
        <w:pStyle w:val="17"/>
        <w:numPr>
          <w:ilvl w:val="0"/>
          <w:numId w:val="0"/>
        </w:numPr>
        <w:ind w:leftChars="0"/>
        <w:jc w:val="left"/>
        <w:rPr>
          <w:rFonts w:hint="eastAsia" w:ascii="宋体" w:hAnsi="宋体" w:eastAsia="宋体"/>
        </w:rPr>
      </w:pPr>
      <w:r>
        <w:drawing>
          <wp:inline distT="0" distB="0" distL="114300" distR="114300">
            <wp:extent cx="5262880" cy="2196465"/>
            <wp:effectExtent l="0" t="0" r="1397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4281">
      <w:pPr>
        <w:ind w:firstLine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图2 转专业申请</w:t>
      </w:r>
    </w:p>
    <w:p w14:paraId="4D202C04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⒍点击“返回”按钮，返回转专业申报结果界面；</w:t>
      </w:r>
    </w:p>
    <w:p w14:paraId="39708FF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⒎申请结果页面，如图 3 所示。</w:t>
      </w:r>
    </w:p>
    <w:p w14:paraId="6B27253E">
      <w:pPr>
        <w:ind w:firstLine="0"/>
        <w:jc w:val="left"/>
        <w:rPr>
          <w:rFonts w:hint="eastAsia" w:ascii="宋体" w:hAnsi="宋体" w:eastAsia="宋体"/>
        </w:rPr>
      </w:pPr>
      <w:r>
        <w:drawing>
          <wp:inline distT="0" distB="0" distL="114300" distR="114300">
            <wp:extent cx="5271135" cy="1624330"/>
            <wp:effectExtent l="0" t="0" r="57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6BF5">
      <w:pPr>
        <w:ind w:firstLine="0"/>
        <w:jc w:val="center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" w:hAnsi="仿宋" w:eastAsia="仿宋" w:cs="仿宋"/>
          <w:sz w:val="28"/>
          <w:szCs w:val="28"/>
        </w:rPr>
        <w:t>图3 申请结果</w:t>
      </w:r>
    </w:p>
    <w:p w14:paraId="7F7A023F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⒏报名完成后，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《长春建筑学院学生转专业申请审批表》报所在学院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办公室教学秘书处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981E3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⒐注意：</w:t>
      </w:r>
    </w:p>
    <w:p w14:paraId="3E3B16EE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⑴学生排名不符，申请时提示“您的专业成绩排名不符合申报转专业要求，不能申报”；</w:t>
      </w:r>
    </w:p>
    <w:p w14:paraId="6DE5C66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⑵学生有不及格成绩，申请时提示“您的成绩存在不及格成绩，根据转专业规定不能申报”；</w:t>
      </w:r>
    </w:p>
    <w:p w14:paraId="7C3F44B7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⑶学生是限制标签不能申请，提示“您不符合转专业条件，不能申请！”；</w:t>
      </w:r>
    </w:p>
    <w:p w14:paraId="612502AC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bookmarkStart w:id="2" w:name="_Toc12260"/>
      <w:r>
        <w:rPr>
          <w:rFonts w:ascii="宋体" w:hAnsi="宋体" w:eastAsia="宋体"/>
          <w:sz w:val="32"/>
          <w:szCs w:val="32"/>
        </w:rPr>
        <w:t>查询结果</w:t>
      </w:r>
      <w:bookmarkEnd w:id="2"/>
    </w:p>
    <w:p w14:paraId="39DBABFA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⒈进入方式：我的应用-&gt;转专业申请</w:t>
      </w:r>
    </w:p>
    <w:p w14:paraId="6D0864FD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⒉进入转专业申请管理页面，共有5个模块，分别为：转专业报名、转出资格查询、  转入资格查询、面试信息查询、录取信息查询。</w:t>
      </w:r>
    </w:p>
    <w:p w14:paraId="66B69BFF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⒊转出资格查询</w:t>
      </w:r>
    </w:p>
    <w:p w14:paraId="5539A0C4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⑴转出学院完成审核后获得查询资格；</w:t>
      </w:r>
    </w:p>
    <w:p w14:paraId="70DBE193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⑵获得转出资格的学生，如图 4 所示：</w:t>
      </w:r>
    </w:p>
    <w:p w14:paraId="1213B4D5"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⑶未获得转出资格的学生由转出学院以线下通知的方式告知结果。</w:t>
      </w:r>
    </w:p>
    <w:p w14:paraId="60186BBC">
      <w:pPr>
        <w:ind w:firstLine="0"/>
        <w:jc w:val="center"/>
        <w:rPr>
          <w:rFonts w:hint="eastAsia" w:ascii="宋体" w:hAnsi="宋体" w:eastAsia="宋体"/>
        </w:rPr>
      </w:pPr>
      <w:r>
        <w:drawing>
          <wp:inline distT="0" distB="0" distL="114300" distR="114300">
            <wp:extent cx="5273040" cy="2160905"/>
            <wp:effectExtent l="0" t="0" r="38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F08F">
      <w:pPr>
        <w:ind w:firstLine="0"/>
        <w:jc w:val="center"/>
        <w:rPr>
          <w:rFonts w:ascii="宋体" w:hAnsi="宋体" w:eastAsia="宋体"/>
        </w:rPr>
      </w:pPr>
      <w:r>
        <w:rPr>
          <w:rFonts w:hint="eastAsia" w:ascii="仿宋" w:hAnsi="仿宋" w:eastAsia="仿宋" w:cs="仿宋"/>
          <w:sz w:val="28"/>
          <w:szCs w:val="28"/>
        </w:rPr>
        <w:t>图 4 获得转出资格页面（此图只做参考，以实际页面为准）</w:t>
      </w:r>
    </w:p>
    <w:p w14:paraId="14D3854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⒋录取信息查询</w:t>
      </w:r>
    </w:p>
    <w:p w14:paraId="2EE8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⑴学校公布录取结果后，学生可以查看。</w:t>
      </w:r>
    </w:p>
    <w:p w14:paraId="003E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⑵如图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所示，显示录取结果，及后续工作安排。</w:t>
      </w:r>
    </w:p>
    <w:p w14:paraId="4BF3F290">
      <w:pPr>
        <w:ind w:firstLine="0"/>
        <w:jc w:val="left"/>
        <w:rPr>
          <w:rFonts w:ascii="宋体" w:hAnsi="宋体" w:eastAsia="宋体"/>
        </w:rPr>
      </w:pPr>
      <w:r>
        <w:drawing>
          <wp:inline distT="0" distB="0" distL="114300" distR="114300">
            <wp:extent cx="5265420" cy="2345690"/>
            <wp:effectExtent l="0" t="0" r="11430" b="165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6962">
      <w:pPr>
        <w:ind w:firstLine="0"/>
        <w:jc w:val="center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图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录取信息查询界面（此图只做参考，以实际页面为准）</w:t>
      </w:r>
    </w:p>
    <w:p w14:paraId="1DB53FF3"/>
    <w:sectPr>
      <w:footerReference r:id="rId10" w:type="first"/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AE2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7EF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3C57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4B6D3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4B6D3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E7C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8B858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8B858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86EE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B2E6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72B0E"/>
    <w:multiLevelType w:val="multilevel"/>
    <w:tmpl w:val="2C672B0E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E"/>
    <w:rsid w:val="001C6042"/>
    <w:rsid w:val="00225F1E"/>
    <w:rsid w:val="00554503"/>
    <w:rsid w:val="005F527B"/>
    <w:rsid w:val="007A6CB7"/>
    <w:rsid w:val="007A775B"/>
    <w:rsid w:val="008F54A6"/>
    <w:rsid w:val="008F6639"/>
    <w:rsid w:val="00942C72"/>
    <w:rsid w:val="00BB6FEF"/>
    <w:rsid w:val="00C031D8"/>
    <w:rsid w:val="00C456AB"/>
    <w:rsid w:val="00E62774"/>
    <w:rsid w:val="00EE062C"/>
    <w:rsid w:val="031D5C1C"/>
    <w:rsid w:val="08A531D6"/>
    <w:rsid w:val="13E6005E"/>
    <w:rsid w:val="14F16914"/>
    <w:rsid w:val="18075C41"/>
    <w:rsid w:val="18BE33B4"/>
    <w:rsid w:val="4A1C2FD6"/>
    <w:rsid w:val="4B0E7871"/>
    <w:rsid w:val="55970C01"/>
    <w:rsid w:val="593D5B24"/>
    <w:rsid w:val="67475969"/>
    <w:rsid w:val="703C547B"/>
    <w:rsid w:val="738B2F51"/>
    <w:rsid w:val="79EC7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50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pPr>
      <w:spacing w:before="0" w:beforeAutospacing="0" w:after="0" w:afterAutospacing="0" w:line="240" w:lineRule="auto"/>
      <w:ind w:firstLine="0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beforeAutospacing="0" w:after="0" w:afterAutospacing="0" w:line="276" w:lineRule="auto"/>
      <w:ind w:firstLine="0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glossaryDocument" Target="glossary/document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b6c051f-0868-46e6-930d-cb05ac48f9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6c051f-0868-46e6-930d-cb05ac48f959}"/>
      </w:docPartPr>
      <w:docPartBody>
        <w:p w14:paraId="7092BBDB">
          <w:pPr>
            <w:pStyle w:val="5"/>
          </w:pPr>
          <w:r>
            <w:rPr>
              <w:rFonts w:asciiTheme="majorHAnsi" w:hAnsiTheme="majorHAnsi" w:eastAsiaTheme="majorEastAsia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{9595f6b9-b000-4557-b872-e1c064ded2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5f6b9-b000-4557-b872-e1c064ded2f5}"/>
      </w:docPartPr>
      <w:docPartBody>
        <w:p w14:paraId="7F65C17D">
          <w:pPr>
            <w:pStyle w:val="6"/>
          </w:pPr>
          <w:r>
            <w:rPr>
              <w:rFonts w:asciiTheme="majorHAnsi" w:hAnsiTheme="majorHAnsi" w:eastAsiaTheme="majorEastAsia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9C45E8"/>
    <w:rsid w:val="003F05F2"/>
    <w:rsid w:val="009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4A9448F11F24859AFAABAEB021A14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01B95F419BE43D6B6BD4479DF6825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4951D85184A4E4B8667DB2689E2AE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91460745F76437F854C330B300B01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7102F19A87E4B409D7F85A902D8CC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8AD140354F94D229916098A6D8FE7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3D6A5700329487FAA380E50FF799C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B41A8F6731D495A95DA01D6400EA9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C63B96F3572475E91310A280ADCDF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86F6729F391F4F319BF60D14C1A84F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47414FAB2F045CD8CD5522C780FBF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46E82-E3C0-49F6-B32D-127569DC7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长春凌展软件有限责任公司</Company>
  <Pages>6</Pages>
  <Words>784</Words>
  <Characters>824</Characters>
  <Lines>11</Lines>
  <Paragraphs>3</Paragraphs>
  <TotalTime>11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2022-06-19T07:09:00Z</dcterms:created>
  <dc:creator>长春建筑学院教务处</dc:creator>
  <cp:lastModifiedBy>li超越</cp:lastModifiedBy>
  <dcterms:modified xsi:type="dcterms:W3CDTF">2025-08-17T02:09:40Z</dcterms:modified>
  <dc:subject>学生端（PC 端）</dc:subject>
  <dc:title>转专业申报操作指南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67CA90B259F0412582A5C4E0F3A8487F_13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