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吉林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省学士学位授权专业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审核标准</w:t>
      </w:r>
    </w:p>
    <w:p>
      <w:pPr>
        <w:spacing w:line="520" w:lineRule="exact"/>
        <w:rPr>
          <w:rFonts w:ascii="黑体" w:hAnsi="黑体" w:eastAsia="黑体"/>
          <w:sz w:val="4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2194"/>
        <w:gridCol w:w="5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83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一级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指标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二级指标</w:t>
            </w:r>
          </w:p>
        </w:tc>
        <w:tc>
          <w:tcPr>
            <w:tcW w:w="55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观测点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837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1.专业定位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1.1立德树人</w:t>
            </w:r>
          </w:p>
        </w:tc>
        <w:tc>
          <w:tcPr>
            <w:tcW w:w="5568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坚持社会主义办学方向，坚持立德树人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837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1.2专业规划</w:t>
            </w:r>
          </w:p>
        </w:tc>
        <w:tc>
          <w:tcPr>
            <w:tcW w:w="5568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专业建设规划科学合理,符合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学校办学定位和发展规划，有相关学科专业为依托，适应社会需求，人才培养类型和服务面向清晰合理。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2.师资队伍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2.1师德师风</w:t>
            </w:r>
          </w:p>
        </w:tc>
        <w:tc>
          <w:tcPr>
            <w:tcW w:w="5568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师德师风高尚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，严谨治学，从严执教，教书育人。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2.2师资结构</w:t>
            </w:r>
          </w:p>
        </w:tc>
        <w:tc>
          <w:tcPr>
            <w:tcW w:w="5568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专任数量充足，业务水平优良，能够满足人才培养需要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，符合《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普通高等学校本科专业类教学质量国家标准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》。</w:t>
            </w: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具有硕士学位及以上教师的比例大于50%，专业、学历、职称和年龄结构合理。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2.3教学科研</w:t>
            </w:r>
          </w:p>
        </w:tc>
        <w:tc>
          <w:tcPr>
            <w:tcW w:w="5568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专业带头人有较高的学术造诣及专业服务的行业影响，具有副高及以上技术职务，有3项及以上高水平的代表性成果，至少主持1项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（完成或在研）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省部级及以上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教学或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科研项目或产教融合的横向科研项目。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3.培养方案与课程设置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3.1培养目标</w:t>
            </w:r>
          </w:p>
        </w:tc>
        <w:tc>
          <w:tcPr>
            <w:tcW w:w="5568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人才培养目标及毕业要求契合学校办学定位和学科优势，与专业定位匹配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，培养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目标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和毕业要求内容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明确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清晰，体现德智体美劳全面发展。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3.2课程设置</w:t>
            </w:r>
          </w:p>
        </w:tc>
        <w:tc>
          <w:tcPr>
            <w:tcW w:w="5568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人才培养方案科学完整，课程设置科学合理，符合国家标准和规范；教学内容彰显培养特色，支撑本专业培养目标及毕业要求。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4.教学条件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4.1经费投入</w:t>
            </w:r>
          </w:p>
        </w:tc>
        <w:tc>
          <w:tcPr>
            <w:tcW w:w="5568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专业教学经费有保证。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4.2平台实施</w:t>
            </w:r>
          </w:p>
        </w:tc>
        <w:tc>
          <w:tcPr>
            <w:tcW w:w="5568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教育教学技术有效应用于教学过程。</w:t>
            </w: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具有人才培养所必须的实验室、基地等教学实践平台；拥有充足的教学科研仪器设备、图书文献资料；积极开展学术交流与合作，与企事业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等有实质性合作成果。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质量保障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5.1教学规范</w:t>
            </w:r>
          </w:p>
        </w:tc>
        <w:tc>
          <w:tcPr>
            <w:tcW w:w="5568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教学运行规范有序，教学大纲（含考核大纲)、教案、教材及教辅资料、考试考核等管理规范。</w:t>
            </w: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教学方法运用得当，注重因材施教。</w:t>
            </w: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教师教学行为规范，精神风貌良好。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5.2质量监控</w:t>
            </w:r>
          </w:p>
        </w:tc>
        <w:tc>
          <w:tcPr>
            <w:tcW w:w="5568" w:type="dxa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教学管理规章制度健全，执行情况较好。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教学质量监控体系基本形成，运行有效。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mMzhhYjI3ZTc5YWIxMGE0YmI4MjIzM2JjYmQzMjcifQ=="/>
  </w:docVars>
  <w:rsids>
    <w:rsidRoot w:val="1C1C54D5"/>
    <w:rsid w:val="1C1C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2023-05-09T00:54:00Z</dcterms:created>
  <dc:creator>li超越</dc:creator>
  <cp:lastModifiedBy>li超越</cp:lastModifiedBy>
  <dcterms:modified xsi:type="dcterms:W3CDTF">2023-05-09T00:54:38Z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DD7E4CB556304820B7ADB368F28F66E0_11</vt:lpwstr>
  </property>
</Properties>
</file>